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5332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855" w:lineRule="atLeast"/>
        <w:ind w:left="0" w:right="0" w:firstLine="0"/>
        <w:jc w:val="both"/>
        <w:rPr>
          <w:rFonts w:ascii="微软雅黑" w:hAnsi="微软雅黑" w:eastAsia="微软雅黑" w:cs="微软雅黑"/>
          <w:b/>
          <w:bCs/>
          <w:caps w:val="0"/>
          <w:color w:val="333333"/>
          <w:spacing w:val="0"/>
          <w:sz w:val="57"/>
          <w:szCs w:val="57"/>
        </w:rPr>
      </w:pPr>
      <w:r>
        <w:rPr>
          <w:rFonts w:hint="eastAsia" w:ascii="微软雅黑" w:hAnsi="微软雅黑" w:eastAsia="微软雅黑" w:cs="微软雅黑"/>
          <w:b/>
          <w:bCs/>
          <w:caps w:val="0"/>
          <w:color w:val="333333"/>
          <w:spacing w:val="0"/>
          <w:sz w:val="57"/>
          <w:szCs w:val="57"/>
          <w:bdr w:val="none" w:color="auto" w:sz="0" w:space="0"/>
          <w:shd w:val="clear" w:fill="FFFFFF"/>
        </w:rPr>
        <w:t>2026年国家社会科学基金后期资助暨优秀博士学位论文出版、优秀学术著作再版项目申报公告</w:t>
      </w:r>
    </w:p>
    <w:p w14:paraId="5A8F8680">
      <w:pPr>
        <w:pStyle w:val="4"/>
        <w:keepNext w:val="0"/>
        <w:keepLines w:val="0"/>
        <w:widowControl/>
        <w:suppressLineNumbers w:val="0"/>
        <w:pBdr>
          <w:top w:val="none" w:color="auto" w:sz="0" w:space="0"/>
          <w:left w:val="none" w:color="auto" w:sz="0" w:space="0"/>
          <w:bottom w:val="single" w:color="D3D3D3" w:sz="6" w:space="22"/>
          <w:right w:val="none" w:color="auto" w:sz="0" w:space="0"/>
        </w:pBdr>
        <w:shd w:val="clear" w:fill="FFFFFF"/>
        <w:spacing w:before="0" w:beforeAutospacing="0" w:after="450" w:afterAutospacing="0"/>
        <w:ind w:left="0" w:right="0" w:firstLine="0"/>
        <w:jc w:val="both"/>
        <w:rPr>
          <w:rFonts w:ascii="微软雅黑" w:hAnsi="微软雅黑" w:eastAsia="微软雅黑" w:cs="微软雅黑"/>
          <w:b w:val="0"/>
          <w:bCs w:val="0"/>
          <w:i w:val="0"/>
          <w:iCs w:val="0"/>
          <w:caps w:val="0"/>
          <w:color w:val="333333"/>
          <w:spacing w:val="0"/>
          <w:sz w:val="24"/>
          <w:szCs w:val="24"/>
        </w:rPr>
      </w:pPr>
      <w:r>
        <w:rPr>
          <w:rStyle w:val="9"/>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2026年07月08日14:35来源：</w: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begin"/>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instrText xml:space="preserve"> HYPERLINK "http://www.nopss.gov.cn/GB/index.html" \t "https://www.nopss.gov.cn/n1/2026/0708/_blank" </w:instrTex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separate"/>
      </w:r>
      <w:r>
        <w:rPr>
          <w:rStyle w:val="10"/>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t>全国哲学社会科学工作办公室</w: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end"/>
      </w:r>
    </w:p>
    <w:p w14:paraId="3A08114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全国哲学社会科学工作办公室现将2026年国家社会科学基金后期资助暨优秀博士学位论文出版、优秀学术著作再版项目申报有关事项公告如下。</w:t>
      </w:r>
    </w:p>
    <w:p w14:paraId="2D0F39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一、项目宗旨</w:t>
      </w:r>
    </w:p>
    <w:p w14:paraId="74742E8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会科学基金后期资助项目、优秀博士学位论文出版项目和优秀学术著作再版项目旨在鼓励广大哲学社会科学工作者弘扬优良学风，潜心治学，扎实研究，努力推出和打造具有学术创新价值和传承意义的精品力作，培养一批优秀青年学者，充分发挥国家社会科学基金在繁荣发展哲学社会科学中的示范引导作用。</w:t>
      </w:r>
    </w:p>
    <w:p w14:paraId="1D2271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二、资助对象与资助重点</w:t>
      </w:r>
    </w:p>
    <w:p w14:paraId="0AF7D54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会科学基金后期资助项目主要资助已基本完成且尚未出版的哲学社会科学研究优秀学术成果。优秀博士学位论文出版项目主要资助研究深入、创新程度较高的优秀博士学位论文，突出对具有较大发展潜力的优秀青年学者的科研支持。优秀学术著作再版项目主要资助已经出版但未曾受省部级以上课题资助且在相关学科领域产生显著学术影响和社会价值的著作的修订完善、重印再版。后期资助项目以资助学术专著为主，少量资助学术价值较高的资料汇编、调研报告和工具书。国家社会科学基金各学科，包括教育学、艺术学、军事学三个单列学科均可申报。</w:t>
      </w:r>
    </w:p>
    <w:p w14:paraId="6A0F44C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重点资助围绕习近平新时代中国特色社会主义思想研究阐释、马克思主义基本理论、党的基本理论；围绕中国式现代化重大理论和实践问题，事关全面深化改革和高水平对外开放、构建高水平社会主义市场经济体制、建设现代化人民城市、发展全过程人民民主、推进全面依法治国、繁荣发展新时代中国特色社会主义文化、促进人与自然和谐共生、推进国家安全体系现代化、人工智能发展和治理等方面的重大理论和现实问题；围绕中国历史文化、世界历史文化和人类文明发展、文化传承发展和中外文明交流互鉴、区域国别研究等领域的重大基础理论问题；以及围绕哲学社会科学各学科领域的重要基础和前沿问题开展原创性研究而取得的优秀学术成果。</w:t>
      </w:r>
    </w:p>
    <w:p w14:paraId="7D573A2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三、项目类别与资助经费</w:t>
      </w:r>
    </w:p>
    <w:p w14:paraId="77FA0F1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会科学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学位论文出版项目每项资助金额为20万元左右。优秀学术著作再版项目每项资助金额为25—35万元。</w:t>
      </w:r>
    </w:p>
    <w:p w14:paraId="6D70A69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会科学基金后期资助项目、优秀博士学位论文出版项目和优秀学术著作再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14:paraId="092C297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四、申报条件</w:t>
      </w:r>
    </w:p>
    <w:p w14:paraId="267E002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申请人须遵守中华人民共和国宪法和法律，坚持正确的政治方向、价值取向和学术导向，遵守国家社会科学基金有关管理规定；独立开展研究工作，学风优良；具有副高级以上（含）专业技术职称（职务），或者具有博士学位。支持具有长期学术积累的退休科研人员积极申报。</w:t>
      </w:r>
    </w:p>
    <w:p w14:paraId="7CA408B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2.申请人所在单位应设有科研管理部门，能够提供开展研究的必要条件并承诺信誉保证。申请优秀博士学位论文出版项目，如申请人所在单位无科研管理部门，可委托博士学位授予单位进行申报和管理。</w:t>
      </w:r>
      <w:r>
        <w:rPr>
          <w:rStyle w:val="8"/>
          <w:rFonts w:hint="eastAsia" w:ascii="微软雅黑" w:hAnsi="微软雅黑" w:eastAsia="微软雅黑" w:cs="微软雅黑"/>
          <w:caps w:val="0"/>
          <w:color w:val="333333"/>
          <w:spacing w:val="0"/>
          <w:sz w:val="27"/>
          <w:szCs w:val="27"/>
          <w:bdr w:val="none" w:color="auto" w:sz="0" w:space="0"/>
          <w:shd w:val="clear" w:fill="FFFFFF"/>
        </w:rPr>
        <w:t>以兼职人员身份从所兼职单位申报的，兼职单位须审核兼职人员正式聘用关系的真实性，承担项目管理职责并承诺信誉保证。</w:t>
      </w:r>
    </w:p>
    <w:p w14:paraId="2109A6C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申报后期资助项目的成果需完成80%以上，原则上资助独著。以博士学位论文、博士后研究报告为基础申报的，论文或报告完成日期应为3年以上（答辩日期为2023年6月30日之前），并在原论文或报告基础上进行实质性修改，且增删、修改内容篇幅达到原论文或报告字数30%以上。成果与已出版专著重复率超过10%的不得申报。</w:t>
      </w:r>
    </w:p>
    <w:p w14:paraId="0192615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优秀博士学位论文出版项目的申请人年龄应在35周岁以下（1991年7月1日后出生），论文须以中文写作且被毕业院校评定为“优秀”等级，完成日期为2023年6月30日—2025年6月30日（以答辩日期为准）。同等条件下，获得省部级以上优秀博士学位论文的优先予以支持。</w:t>
      </w:r>
    </w:p>
    <w:p w14:paraId="6824B2E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5.优秀学术著作再版项目今年继续在哲学、中国文学、外国文学、语言学、中国历史、世界历史、考古学等7个人文基础学科试点，出版社申报范围为国家社会科学基金后期资助项目推荐申报出版机构（81家）。学术著作首次出版时间限定为2016年1月1日至2025年7月31日，且在相关学科领域产生显著学术影响和社会价值。</w:t>
      </w:r>
    </w:p>
    <w:p w14:paraId="14C2B35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6.凡有下列情形之一者不得申报。</w:t>
      </w:r>
    </w:p>
    <w:p w14:paraId="18BFC83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（1）申请人承担的国家社会科学基金项目、国家自然科学基金项目及其他国家级科研项目尚未结项（结项证书标注日期应在2026年7月1日之前）；</w:t>
      </w:r>
    </w:p>
    <w:p w14:paraId="22D1C99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（2）属于国家社会科学基金项目、国家自然科学基金项目及其他国家级科研项目、教育部人文社会科学研究各类项目的研究成果；</w:t>
      </w:r>
    </w:p>
    <w:p w14:paraId="422663D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（3）成果内容涉及国家秘密。</w:t>
      </w:r>
    </w:p>
    <w:p w14:paraId="327EEB6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五、申报办法</w:t>
      </w:r>
    </w:p>
    <w:p w14:paraId="23BB997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后期资助项目由申请人依托所在单位申报。与我办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出版机构同意申报意见。具体程序如下。</w:t>
      </w:r>
    </w:p>
    <w:p w14:paraId="3A710C6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填写申请书和申报信息汇总表。下载《国家社会科学基金后期资助项目申请书（重点项目、一般项目）》《国家社会科学基金优秀博士学位论文出版项目申请书》《国家社会科学基金优秀学术著作再版项目申请书》和对应的《项目申报信息汇总表》（见附件1、2、3、4），用计算机填写。跨学科研究要以“靠近优先”原则，选择一个为主学科申报。将填写完整的申请书（一式6份，A3纸双面打印、中缝装订）和申报信息汇总表电子版（确保与申请书有关信息保持一致），连同申报成果交所在单位科研管理部门审核、签署意见并盖章。</w:t>
      </w:r>
    </w:p>
    <w:p w14:paraId="0BD25CE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2.申报材料。</w:t>
      </w:r>
    </w:p>
    <w:p w14:paraId="129E0AE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申报后期资助项目：①申请书6份；②申报成果6套（如申报书稿超过60万字，需另外报送6份成果概要，含2万字左右的成果内容介绍，以及全书目录和参考文献），书稿和成果概要均用A4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5）。</w:t>
      </w:r>
    </w:p>
    <w:p w14:paraId="2976476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申报优秀博士学位论文出版项目：①申请书6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14:paraId="56140B0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（3）申报优秀学术著作再版项目：①申请书6份；②学术著作6套；③著作出版合同及其他相关证明材料复印件各1份。</w:t>
      </w:r>
    </w:p>
    <w:p w14:paraId="5DB01F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上述材料的电子版需一同报送我办。</w:t>
      </w:r>
    </w:p>
    <w:p w14:paraId="244C876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各省（区、市）、新疆生产建设兵团社科规划（工作）办和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会科学司受理中央各部委所属在京普通高等院校的课题申报，全军社科规划办受理军队系统（含地方军队院校）的课题申报。</w:t>
      </w:r>
    </w:p>
    <w:p w14:paraId="27192BE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教育学、艺术学、军事学三个单列学科的项目申报，分别由全国教育科学规划办、全国艺术科学规划办和全军社科规划办直接受理。</w:t>
      </w:r>
    </w:p>
    <w:p w14:paraId="494D6F8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申报材料不予退回，我办将做好申报材料的保密工作。</w:t>
      </w:r>
    </w:p>
    <w:p w14:paraId="4CD01E9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六、研究及出版要求</w:t>
      </w:r>
    </w:p>
    <w:p w14:paraId="68231DD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项目负责人在项目执行期间要遵守相关承诺，履行约定义务，按期完成研究任务，获准立项的课题《项目申请书》视为具有约束力的资助合同文本。重点项目和一般项目完成时限为1—3年，优秀博士学位论文出版项目要求于2027年8月前完成修改出版，优秀学术著作再版项目完、成时限为1—2年，申请人应按时限完成研究工作。</w:t>
      </w:r>
    </w:p>
    <w:p w14:paraId="6D56C60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后期资助项目最终成果须先鉴定、后出版。各省（区、市）、新疆生产建设兵团社科规划（工作）办和在京委托管理机构对最终成果组织鉴定后提交我办审核，合格者方可进入出版程序并办理结项。后期资助项目的研究成果由我办指定出版机构并按要求统一出版，优秀博士学位论文由我办安排集中出版。优秀学术著作再版项目立项后由原出版社按统一要求修订再版。项目申报评审期间、鉴定结项之前，申请人不得违规出版，否则将视情终止申请或撤项，并通报批评。</w:t>
      </w:r>
    </w:p>
    <w:p w14:paraId="044936A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后期资助项目成果出版不得同时标注其他基金项目资助字样。成果出版后，我办将常态化遴选完成质量与学术价值较高的作品，形成国家社会科学基金“优秀出版成果重点推荐书目”，对优秀成果进行形式多样的宣传推介。</w:t>
      </w:r>
    </w:p>
    <w:p w14:paraId="799495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七、其他注意事项</w:t>
      </w:r>
    </w:p>
    <w:p w14:paraId="6EE96C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申请人需按照《项目申请书》和申报公告如实填写申请材料，保证没有知识产权争议，不得有违背科研诚信要求的行为。已申报2026年国家社会科学基金年度项目、重大项目及各类专项的，如获立项将不再立为后期资助项目、优秀博士学位论文出版项目和优秀学术著作再版项目。凡在申请时弄虚作假或申报成果存在抄袭剽窃等行为的，一经发现查实，5年内取消申报资格；如获立项即予撤项并通报批评，责成所在单位依规进行处分。情节严重的，申请人5年内不得申报国家社会科学基金项目。凡在国家社会科学基金项目申报和评审中发现严重违规违纪行为的，除按规定进行处理外，将被列入不良科研信用记录。</w:t>
      </w:r>
    </w:p>
    <w:p w14:paraId="6125071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凡在内容上与本人已结项的各类国家级科研项目有较大关联的，须在《项目申请书》中详细说明所申报项目与已承担项目的联系和区别，否则视为重复申报；不得以内容基本相同或相近的同一成果申请多家基金项目结项。</w:t>
      </w:r>
    </w:p>
    <w:p w14:paraId="7F56F91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各地社科规划（工作）办、在京委托管理机构和责任单位要加强对申报工作的组织和指导，切实把好政治方向关和学术质量关，提高申报质量，严格审核申请人和申报成果的资格条件，签署明确意见后上报我办。</w:t>
      </w:r>
    </w:p>
    <w:p w14:paraId="4E79430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4.2026年国家社会科学基金后期资助项目、优秀博士学位论文出版项目和优秀学术著作再版项目集中受理申报时间为7月25日至30日。纸质版申报材料统一由各地社科规划（工作）办和在京委托管理机构寄送，不接受个人以及科研单位、出版机构的报送；电子版申报信息汇总表需由各地社科规划（工作）办和在京委托管理机构汇总审核后，统一发送至我办。</w:t>
      </w:r>
    </w:p>
    <w:p w14:paraId="16F1F5A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全国社科工作办申报咨询电话：（010）83083062</w:t>
      </w:r>
    </w:p>
    <w:p w14:paraId="7E15F55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全国教育规划办申报咨询电话：（010）62003880</w:t>
      </w:r>
    </w:p>
    <w:p w14:paraId="0B823A0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全国艺术规划办申报咨询电话：（010）87930753</w:t>
      </w:r>
    </w:p>
    <w:p w14:paraId="5FA7BA5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全军社科规划办申报咨询电话：（010）66907129</w:t>
      </w:r>
    </w:p>
    <w:p w14:paraId="753AC97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w:t>
      </w:r>
    </w:p>
    <w:p w14:paraId="2FB01F6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2026年7月8日</w:t>
      </w:r>
    </w:p>
    <w:p w14:paraId="74A24D0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附件：</w:t>
      </w:r>
    </w:p>
    <w:p w14:paraId="68CF129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"http://download.people.com.cn/yunying4/sixteen17834925651.docx" \t "https://www.nopss.gov.cn/n1/2026/0708/_blank"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国家社科基金后期资助项目申请书（重点项目、一般项目）</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398197D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"http://download.people.com.cn/yunying4/sixteen17834925921.doc" \t "https://www.nopss.gov.cn/n1/2026/0708/_blank"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国家社科基金优秀博士论文出版项目申请书</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41781B3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"http://download.people.com.cn/yunying4/sixteen17834926171.doc" \t "https://www.nopss.gov.cn/n1/2026/0708/_blank"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国家社科基金优秀学术著作再版项目申请书</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02B1AB0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"http://download.people.com.cn/yunying4/sixteen17834926341.xlsx" \t "https://www.nopss.gov.cn/n1/2026/0708/_blank"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项目申报信息汇总表</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56A3B69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5.</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"http://download.people.com.cn/yunying4/sixteen17834949291.doc" \t "https://www.nopss.gov.cn/n1/2026/0708/_blank"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国家社科基金后期资助项目申报成果修改说明</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1396267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6.</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"http://download.people.com.cn/yunying4/sixteen17834949661.xlsx" \t "https://www.nopss.gov.cn/n1/2026/0708/_blank"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国家社会科学基金项目申报数据代码表</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4EFFCB4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附：推荐申报出版机构名单（81家）</w:t>
      </w:r>
    </w:p>
    <w:p w14:paraId="41B7E28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人民出版社、中国社会科学出版社、商务印书馆、中华书局、学习出版社、社会科学文献出版社、中央党校出版社、中央文献出版社、中央编译出版社、中共党史出版社、中国文史出版社、世界知识出版社、生活·读书·新知三联书店、高等教育出版社、法律出版社、经济科学出版社、中国财政经济出版社、中国大百科全书出版社、科学出版社、九州出版社、民族出版社、国家图书馆出版社、教育科学出版社、文化艺术出版社、人民音乐出版社、人民美术出版社、外文出版社、人民日报出版社、国防工业出版社、军事科学出版社、文物出版社、故宫出版社、当代中国出版社、当代世界出版社、经济管理出版社、中信出版社、上海人民出版社、上海三联书店、上海古籍出版社、中西书局、上海远东出版社、上海辞书出版社、上海社会科学院出版社、上海教育出版社、天津人民出版社、天津古籍出版社、浙江人民出版社、凤凰出版社、福建人民出版社、江西人民出版社、山东人民出版社、湖北人民出版社、湖南人民出版社、广东人民出版社、四川人民出版社、重庆出版社、陕西人民出版社</w:t>
      </w:r>
    </w:p>
    <w:p w14:paraId="67EB6CE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北京大学出版社、中国人民大学出版社、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重庆大学出版社、兰州大学出版社、安徽大学出版社、西安交通大学出版社</w:t>
      </w:r>
    </w:p>
    <w:p w14:paraId="01CAA7C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0E7DE8"/>
    <w:rsid w:val="7A0E7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2026-07-09T09:29:00Z</dcterms:created>
  <dc:creator>Administrator</dc:creator>
  <cp:lastModifiedBy>Administrator</cp:lastModifiedBy>
  <dcterms:modified xsi:type="dcterms:W3CDTF">2026-07-09T09:29:43Z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6A1430642CA84C489A0FDF7FD2BBCA82_11</vt:lpwstr>
  </property>
  <property fmtid="{D5CDD505-2E9C-101B-9397-08002B2CF9AE}" pid="4" name="KSOTemplateDocerSaveRecord">
    <vt:lpwstr>eyJoZGlkIjoiZGUwNWIzZGVmZTRkOTZkM2UxODE3N2I3MWNjMjA2YWYiLCJ1c2VySWQiOiIyNTY2MDE1MjgifQ==</vt:lpwstr>
  </property>
</Properties>
</file>